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76D8482" w14:textId="77777777" w:rsidTr="005F7F7E">
        <w:tc>
          <w:tcPr>
            <w:tcW w:w="2438" w:type="dxa"/>
            <w:shd w:val="clear" w:color="auto" w:fill="auto"/>
          </w:tcPr>
          <w:p w14:paraId="6E33E46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7CD3B6C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30446DA2" w14:textId="77777777" w:rsidTr="005F7F7E">
        <w:tc>
          <w:tcPr>
            <w:tcW w:w="2438" w:type="dxa"/>
            <w:shd w:val="clear" w:color="auto" w:fill="auto"/>
          </w:tcPr>
          <w:p w14:paraId="3F816D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634384A4" w14:textId="77777777" w:rsidR="00F445B1" w:rsidRPr="001356F1" w:rsidRDefault="003B7DA1" w:rsidP="00C53EB7">
            <w:pPr>
              <w:rPr>
                <w:b/>
              </w:rPr>
            </w:pPr>
            <w:r>
              <w:rPr>
                <w:rStyle w:val="Firstpagetablebold"/>
              </w:rPr>
              <w:t>Date of the meeting</w:t>
            </w:r>
            <w:r w:rsidR="00A4348C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C53EB7">
              <w:rPr>
                <w:rStyle w:val="Firstpagetablebold"/>
              </w:rPr>
              <w:t>27</w:t>
            </w:r>
            <w:r w:rsidR="00A84422" w:rsidRPr="00A84422">
              <w:rPr>
                <w:rStyle w:val="Firstpagetablebold"/>
                <w:vertAlign w:val="superscript"/>
              </w:rPr>
              <w:t>th</w:t>
            </w:r>
            <w:r w:rsidR="00A84422">
              <w:rPr>
                <w:rStyle w:val="Firstpagetablebold"/>
              </w:rPr>
              <w:t xml:space="preserve"> </w:t>
            </w:r>
            <w:r w:rsidR="00C53EB7">
              <w:rPr>
                <w:rStyle w:val="Firstpagetablebold"/>
              </w:rPr>
              <w:t>Novem</w:t>
            </w:r>
            <w:r w:rsidR="00A84422">
              <w:rPr>
                <w:rStyle w:val="Firstpagetablebold"/>
              </w:rPr>
              <w:t>ber 2017</w:t>
            </w:r>
          </w:p>
        </w:tc>
      </w:tr>
      <w:tr w:rsidR="00CE544A" w:rsidRPr="00975B07" w14:paraId="1C66CBBE" w14:textId="77777777" w:rsidTr="005F7F7E">
        <w:tc>
          <w:tcPr>
            <w:tcW w:w="2438" w:type="dxa"/>
            <w:shd w:val="clear" w:color="auto" w:fill="auto"/>
          </w:tcPr>
          <w:p w14:paraId="4C2EA2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41B7511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Electoral Registration Officer</w:t>
            </w:r>
          </w:p>
        </w:tc>
      </w:tr>
      <w:tr w:rsidR="00CE544A" w:rsidRPr="00975B07" w14:paraId="3074D4DF" w14:textId="77777777" w:rsidTr="005F7F7E">
        <w:tc>
          <w:tcPr>
            <w:tcW w:w="2438" w:type="dxa"/>
            <w:shd w:val="clear" w:color="auto" w:fill="auto"/>
          </w:tcPr>
          <w:p w14:paraId="2EA3053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3F0B52D0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City Ward Boundary Review 2018</w:t>
            </w:r>
          </w:p>
        </w:tc>
      </w:tr>
    </w:tbl>
    <w:p w14:paraId="0D174AA7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1259F6A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197A1C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D2CC494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617CB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5FAAF88" w14:textId="77777777" w:rsidR="00D5547E" w:rsidRPr="001356F1" w:rsidRDefault="00A84422" w:rsidP="00E25553">
            <w:r>
              <w:t xml:space="preserve">To </w:t>
            </w:r>
            <w:r w:rsidR="00E25553">
              <w:t>brief the City Executive Board on the ward boundary review and ask it</w:t>
            </w:r>
            <w:r>
              <w:t xml:space="preserve"> to recommend a council size to the Local Government Boundary Commission for England</w:t>
            </w:r>
          </w:p>
        </w:tc>
      </w:tr>
      <w:tr w:rsidR="00D5547E" w14:paraId="51A710A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97E493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CCA371" w14:textId="77777777" w:rsidR="00D5547E" w:rsidRPr="001356F1" w:rsidRDefault="00D5547E" w:rsidP="00A84422">
            <w:r w:rsidRPr="001356F1">
              <w:t xml:space="preserve">Yes </w:t>
            </w:r>
          </w:p>
        </w:tc>
      </w:tr>
      <w:tr w:rsidR="00D5547E" w14:paraId="5052F25D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137829C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9A5245" w14:textId="77777777" w:rsidR="00D5547E" w:rsidRPr="001356F1" w:rsidRDefault="00D5547E" w:rsidP="00A84422">
            <w:r w:rsidRPr="001356F1">
              <w:t xml:space="preserve">Councillor </w:t>
            </w:r>
            <w:r w:rsidR="00A84422">
              <w:t>Bob Price</w:t>
            </w:r>
            <w:r w:rsidRPr="001356F1">
              <w:t xml:space="preserve">, </w:t>
            </w:r>
            <w:r w:rsidR="00A84422">
              <w:t>Leader</w:t>
            </w:r>
          </w:p>
        </w:tc>
      </w:tr>
      <w:tr w:rsidR="0080749A" w14:paraId="710DAB0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28B6B3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F5AD7F" w14:textId="77777777" w:rsidR="0080749A" w:rsidRPr="001356F1" w:rsidRDefault="00A84422" w:rsidP="005F7F7E">
            <w:r>
              <w:t>None</w:t>
            </w:r>
          </w:p>
        </w:tc>
      </w:tr>
      <w:tr w:rsidR="00D5547E" w14:paraId="5B17572A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46696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96D286" w14:textId="77777777" w:rsidR="00D5547E" w:rsidRPr="001356F1" w:rsidRDefault="00A84422" w:rsidP="005F7F7E">
            <w:r>
              <w:t>None</w:t>
            </w:r>
          </w:p>
        </w:tc>
      </w:tr>
      <w:tr w:rsidR="005F7F7E" w:rsidRPr="00975B07" w14:paraId="72844B94" w14:textId="77777777" w:rsidTr="00A4348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2977C318" w14:textId="0DC93050" w:rsidR="005F7F7E" w:rsidRPr="00975B07" w:rsidRDefault="00A87EC1" w:rsidP="004A6D2F">
            <w:bookmarkStart w:id="0" w:name="_GoBack" w:colFirst="0" w:colLast="1"/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:That</w:t>
            </w:r>
            <w:proofErr w:type="spellEnd"/>
            <w:r w:rsidR="005F7F7E">
              <w:rPr>
                <w:rStyle w:val="Firstpagetablebold"/>
              </w:rPr>
              <w:t xml:space="preserve"> the City Executive Board resolves to:</w:t>
            </w:r>
          </w:p>
        </w:tc>
      </w:tr>
      <w:tr w:rsidR="0030208D" w:rsidRPr="00975B07" w14:paraId="1A26B8BE" w14:textId="77777777" w:rsidTr="00A4348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8546121" w14:textId="7D26CA85" w:rsidR="0030208D" w:rsidRPr="00975B07" w:rsidRDefault="0030208D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1F0C46" w14:textId="54343F22" w:rsidR="0030208D" w:rsidRPr="001356F1" w:rsidRDefault="00F41CBE" w:rsidP="002069B3">
            <w:r>
              <w:rPr>
                <w:rStyle w:val="Firstpagetablebold"/>
              </w:rPr>
              <w:t>Propose</w:t>
            </w:r>
            <w:r w:rsidR="0030208D" w:rsidRPr="001356F1">
              <w:t xml:space="preserve"> </w:t>
            </w:r>
            <w:r w:rsidR="00A4348C">
              <w:t>a council size of 48</w:t>
            </w:r>
            <w:r w:rsidR="00C53EB7">
              <w:t xml:space="preserve"> councillors</w:t>
            </w:r>
            <w:r w:rsidR="00A4348C">
              <w:t xml:space="preserve"> to the Local Government Boundary Commission for England.</w:t>
            </w:r>
          </w:p>
        </w:tc>
      </w:tr>
      <w:bookmarkEnd w:id="0"/>
    </w:tbl>
    <w:p w14:paraId="5A8A064C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039E82C1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07111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514CCF26" w14:textId="77777777" w:rsidTr="00E075B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0AD70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1E88BEE" w14:textId="77777777" w:rsidR="00ED5860" w:rsidRPr="001356F1" w:rsidRDefault="00487872" w:rsidP="004A6D2F">
            <w:r>
              <w:t>City Boundary Working Group Submission on council size</w:t>
            </w:r>
          </w:p>
        </w:tc>
      </w:tr>
      <w:tr w:rsidR="00ED5860" w:rsidRPr="00975B07" w14:paraId="77B1DF46" w14:textId="77777777" w:rsidTr="00E075BC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B3CCA9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EBF306F" w14:textId="77777777" w:rsidR="00ED5860" w:rsidRPr="001356F1" w:rsidRDefault="00487872" w:rsidP="004A6D2F">
            <w:r>
              <w:t>Risk Register</w:t>
            </w:r>
          </w:p>
        </w:tc>
      </w:tr>
    </w:tbl>
    <w:p w14:paraId="7DCF6F2C" w14:textId="77777777" w:rsidR="0040736F" w:rsidRPr="001356F1" w:rsidRDefault="00F66DCA" w:rsidP="004A6D2F">
      <w:pPr>
        <w:pStyle w:val="Heading1"/>
      </w:pPr>
      <w:r w:rsidRPr="001356F1">
        <w:t xml:space="preserve">Introduction </w:t>
      </w:r>
    </w:p>
    <w:p w14:paraId="19E8D6CF" w14:textId="77777777" w:rsidR="00E87F7A" w:rsidRDefault="00433B25" w:rsidP="005570B5">
      <w:pPr>
        <w:pStyle w:val="ListParagraph"/>
      </w:pPr>
      <w:r>
        <w:t xml:space="preserve">The Boundary Commission for England has instigated a review of the City’s ward boundaries. A review can be triggered when the electoral imbalance between wards is greater than 10%. This is now the case in Oxford, almost exclusively caused by the fall in registration rates following the introduction of individual electoral registration in 2014. </w:t>
      </w:r>
    </w:p>
    <w:p w14:paraId="61E6A34C" w14:textId="77777777" w:rsidR="00B07270" w:rsidRDefault="00B07270" w:rsidP="00B07270"/>
    <w:p w14:paraId="1B6ECDAD" w14:textId="77777777" w:rsidR="00B07270" w:rsidRDefault="00B07270" w:rsidP="00B07270"/>
    <w:p w14:paraId="04D51608" w14:textId="77777777" w:rsidR="00B07270" w:rsidRDefault="00B07270" w:rsidP="00B07270"/>
    <w:p w14:paraId="7DBADC83" w14:textId="77777777" w:rsidR="00B07270" w:rsidRDefault="00B07270" w:rsidP="00B07270"/>
    <w:p w14:paraId="04AA82DB" w14:textId="77777777" w:rsidR="00B07270" w:rsidRDefault="00B07270" w:rsidP="00B07270"/>
    <w:p w14:paraId="1C6AC960" w14:textId="77777777" w:rsidR="00B07270" w:rsidRPr="001356F1" w:rsidRDefault="00B07270" w:rsidP="00B07270"/>
    <w:p w14:paraId="1485855D" w14:textId="77777777" w:rsidR="0056413F" w:rsidRDefault="00E25553" w:rsidP="00E075BC">
      <w:pPr>
        <w:pStyle w:val="Heading1"/>
      </w:pPr>
      <w:r>
        <w:lastRenderedPageBreak/>
        <w:t>Stages</w:t>
      </w:r>
      <w:r w:rsidR="0056413F">
        <w:t xml:space="preserve"> of the review</w:t>
      </w:r>
    </w:p>
    <w:p w14:paraId="55388646" w14:textId="70C2900D" w:rsidR="0056413F" w:rsidRDefault="0056413F" w:rsidP="0056413F">
      <w:r>
        <w:t xml:space="preserve">The review is carried out in six </w:t>
      </w:r>
      <w:r w:rsidR="00E25553">
        <w:t>stages</w:t>
      </w:r>
      <w: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5245"/>
      </w:tblGrid>
      <w:tr w:rsidR="0056413F" w14:paraId="5D0F2D48" w14:textId="77777777" w:rsidTr="00E25553">
        <w:tc>
          <w:tcPr>
            <w:tcW w:w="1951" w:type="dxa"/>
            <w:shd w:val="clear" w:color="auto" w:fill="BFBFBF" w:themeFill="background1" w:themeFillShade="BF"/>
          </w:tcPr>
          <w:p w14:paraId="74841CB8" w14:textId="77777777" w:rsidR="0056413F" w:rsidRDefault="0056413F" w:rsidP="0056413F">
            <w:pPr>
              <w:jc w:val="center"/>
            </w:pPr>
            <w:r>
              <w:t>Stage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B4EB143" w14:textId="77777777" w:rsidR="0056413F" w:rsidRDefault="0056413F" w:rsidP="0056413F">
            <w:pPr>
              <w:jc w:val="center"/>
            </w:pPr>
            <w:r>
              <w:t>Timing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4F318E6" w14:textId="77777777" w:rsidR="0056413F" w:rsidRDefault="0056413F" w:rsidP="0056413F">
            <w:pPr>
              <w:jc w:val="center"/>
            </w:pPr>
            <w:r>
              <w:t>Function</w:t>
            </w:r>
          </w:p>
        </w:tc>
      </w:tr>
      <w:tr w:rsidR="0056413F" w14:paraId="647596E7" w14:textId="77777777" w:rsidTr="00E25553">
        <w:tc>
          <w:tcPr>
            <w:tcW w:w="1951" w:type="dxa"/>
          </w:tcPr>
          <w:p w14:paraId="2A491B6B" w14:textId="77777777" w:rsidR="0056413F" w:rsidRDefault="0056413F" w:rsidP="0056413F">
            <w:r>
              <w:t>Preliminary</w:t>
            </w:r>
          </w:p>
        </w:tc>
        <w:tc>
          <w:tcPr>
            <w:tcW w:w="2410" w:type="dxa"/>
          </w:tcPr>
          <w:p w14:paraId="51AD9FCD" w14:textId="77777777" w:rsidR="0056413F" w:rsidRDefault="0056413F" w:rsidP="0056413F">
            <w:r>
              <w:t>June–December 2017</w:t>
            </w:r>
          </w:p>
        </w:tc>
        <w:tc>
          <w:tcPr>
            <w:tcW w:w="5245" w:type="dxa"/>
          </w:tcPr>
          <w:p w14:paraId="0CD863B4" w14:textId="77777777" w:rsidR="0056413F" w:rsidRDefault="0056413F" w:rsidP="00E25553">
            <w:r>
              <w:t xml:space="preserve">Commission briefs interested parties about the review and ask the Council to make a recommendation on council size. </w:t>
            </w:r>
          </w:p>
        </w:tc>
      </w:tr>
      <w:tr w:rsidR="0056413F" w14:paraId="395BDE1B" w14:textId="77777777" w:rsidTr="00E25553">
        <w:tc>
          <w:tcPr>
            <w:tcW w:w="1951" w:type="dxa"/>
          </w:tcPr>
          <w:p w14:paraId="0E2B03B2" w14:textId="77777777" w:rsidR="0056413F" w:rsidRDefault="0056413F" w:rsidP="0056413F">
            <w:r>
              <w:t>Stage One</w:t>
            </w:r>
          </w:p>
        </w:tc>
        <w:tc>
          <w:tcPr>
            <w:tcW w:w="2410" w:type="dxa"/>
          </w:tcPr>
          <w:p w14:paraId="23398D19" w14:textId="77777777" w:rsidR="0056413F" w:rsidRDefault="0056413F" w:rsidP="0056413F">
            <w:r>
              <w:t>9</w:t>
            </w:r>
            <w:r w:rsidRPr="0056413F">
              <w:rPr>
                <w:vertAlign w:val="superscript"/>
              </w:rPr>
              <w:t>th</w:t>
            </w:r>
            <w:r>
              <w:t xml:space="preserve"> Jan-19</w:t>
            </w:r>
            <w:r w:rsidRPr="0056413F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5245" w:type="dxa"/>
          </w:tcPr>
          <w:p w14:paraId="71E6ABDB" w14:textId="77777777" w:rsidR="0056413F" w:rsidRDefault="0056413F" w:rsidP="0056413F">
            <w:r>
              <w:t>The Commission will publish a council size it is minded to recommend and invite ward proposals based on that council size</w:t>
            </w:r>
            <w:r w:rsidR="00E25553">
              <w:t>.</w:t>
            </w:r>
          </w:p>
        </w:tc>
      </w:tr>
      <w:tr w:rsidR="00E25553" w14:paraId="4849787F" w14:textId="77777777" w:rsidTr="00E25553">
        <w:tc>
          <w:tcPr>
            <w:tcW w:w="1951" w:type="dxa"/>
          </w:tcPr>
          <w:p w14:paraId="14647ADE" w14:textId="77777777" w:rsidR="00E25553" w:rsidRDefault="00E25553" w:rsidP="0056413F">
            <w:r>
              <w:t>Stage Two</w:t>
            </w:r>
          </w:p>
        </w:tc>
        <w:tc>
          <w:tcPr>
            <w:tcW w:w="2410" w:type="dxa"/>
          </w:tcPr>
          <w:p w14:paraId="6DCA4DF1" w14:textId="77777777" w:rsidR="00E25553" w:rsidRDefault="00E25553" w:rsidP="0056413F">
            <w:r>
              <w:t>8</w:t>
            </w:r>
            <w:r w:rsidRPr="00E25553">
              <w:rPr>
                <w:vertAlign w:val="superscript"/>
              </w:rPr>
              <w:t>th</w:t>
            </w:r>
            <w:r>
              <w:t xml:space="preserve"> May-16</w:t>
            </w:r>
            <w:r w:rsidRPr="00E25553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5245" w:type="dxa"/>
          </w:tcPr>
          <w:p w14:paraId="051D18B5" w14:textId="77777777" w:rsidR="00E25553" w:rsidRDefault="00E25553" w:rsidP="0056413F">
            <w:r>
              <w:t>The Commission will publish a draft ward scheme for consultation.</w:t>
            </w:r>
          </w:p>
        </w:tc>
      </w:tr>
      <w:tr w:rsidR="00E25553" w14:paraId="4F31649E" w14:textId="77777777" w:rsidTr="00E25553">
        <w:tc>
          <w:tcPr>
            <w:tcW w:w="1951" w:type="dxa"/>
          </w:tcPr>
          <w:p w14:paraId="45A08870" w14:textId="77777777" w:rsidR="00E25553" w:rsidRDefault="00E25553" w:rsidP="0056413F">
            <w:r>
              <w:t>Stage Three</w:t>
            </w:r>
          </w:p>
        </w:tc>
        <w:tc>
          <w:tcPr>
            <w:tcW w:w="2410" w:type="dxa"/>
          </w:tcPr>
          <w:p w14:paraId="3A9F0488" w14:textId="77777777" w:rsidR="00E25553" w:rsidRDefault="00E25553" w:rsidP="0056413F">
            <w:r>
              <w:t>4</w:t>
            </w:r>
            <w:r w:rsidRPr="00E25553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5245" w:type="dxa"/>
          </w:tcPr>
          <w:p w14:paraId="017DB911" w14:textId="77777777" w:rsidR="00E25553" w:rsidRDefault="00E25553" w:rsidP="0056413F">
            <w:r>
              <w:t>The Commission will publish its final recommendations.</w:t>
            </w:r>
          </w:p>
        </w:tc>
      </w:tr>
      <w:tr w:rsidR="00E25553" w14:paraId="1BA4FC59" w14:textId="77777777" w:rsidTr="00E25553">
        <w:tc>
          <w:tcPr>
            <w:tcW w:w="1951" w:type="dxa"/>
          </w:tcPr>
          <w:p w14:paraId="34EDD805" w14:textId="77777777" w:rsidR="00E25553" w:rsidRDefault="00E25553" w:rsidP="0056413F">
            <w:r>
              <w:t>Stage Four</w:t>
            </w:r>
          </w:p>
        </w:tc>
        <w:tc>
          <w:tcPr>
            <w:tcW w:w="2410" w:type="dxa"/>
          </w:tcPr>
          <w:p w14:paraId="2384F5DC" w14:textId="77777777" w:rsidR="00E25553" w:rsidRDefault="00E25553" w:rsidP="0056413F">
            <w:r>
              <w:t>October-December 2018</w:t>
            </w:r>
          </w:p>
        </w:tc>
        <w:tc>
          <w:tcPr>
            <w:tcW w:w="5245" w:type="dxa"/>
          </w:tcPr>
          <w:p w14:paraId="3ED8BBAF" w14:textId="77777777" w:rsidR="00E25553" w:rsidRDefault="00E25553" w:rsidP="0056413F">
            <w:r>
              <w:t>The Commission’s draft order giving effect to its recommendations is laid in bot</w:t>
            </w:r>
            <w:r w:rsidR="00E33557">
              <w:t>h houses of parliament. Parliamen</w:t>
            </w:r>
            <w:r>
              <w:t>t can either accept or reject the recommendations. It cannot modify them.</w:t>
            </w:r>
          </w:p>
        </w:tc>
      </w:tr>
      <w:tr w:rsidR="00E25553" w14:paraId="6F5FC858" w14:textId="77777777" w:rsidTr="00E25553">
        <w:tc>
          <w:tcPr>
            <w:tcW w:w="1951" w:type="dxa"/>
          </w:tcPr>
          <w:p w14:paraId="237198A8" w14:textId="77777777" w:rsidR="00E25553" w:rsidRDefault="00E25553" w:rsidP="0056413F">
            <w:r>
              <w:t>Stage Five</w:t>
            </w:r>
          </w:p>
        </w:tc>
        <w:tc>
          <w:tcPr>
            <w:tcW w:w="2410" w:type="dxa"/>
          </w:tcPr>
          <w:p w14:paraId="57FA32F5" w14:textId="77777777" w:rsidR="00E25553" w:rsidRDefault="00E25553" w:rsidP="0056413F">
            <w:r>
              <w:t>May 2020</w:t>
            </w:r>
          </w:p>
        </w:tc>
        <w:tc>
          <w:tcPr>
            <w:tcW w:w="5245" w:type="dxa"/>
          </w:tcPr>
          <w:p w14:paraId="3481B73F" w14:textId="77777777" w:rsidR="00E25553" w:rsidRDefault="00E25553" w:rsidP="0056413F">
            <w:r>
              <w:t>The new electoral arrangements will come in to force.</w:t>
            </w:r>
          </w:p>
        </w:tc>
      </w:tr>
    </w:tbl>
    <w:p w14:paraId="08F442AB" w14:textId="77777777" w:rsidR="00B07270" w:rsidRDefault="00E53B3F" w:rsidP="0056413F">
      <w:r>
        <w:t xml:space="preserve">We are </w:t>
      </w:r>
      <w:r w:rsidR="00CB73E6">
        <w:t>currently at the preliminary stage</w:t>
      </w:r>
      <w:r w:rsidR="00FC3BA4">
        <w:t xml:space="preserve"> </w:t>
      </w:r>
      <w:r>
        <w:t>(</w:t>
      </w:r>
      <w:r w:rsidR="000A50AF">
        <w:t xml:space="preserve">deciding </w:t>
      </w:r>
      <w:r w:rsidR="00FC3BA4">
        <w:t xml:space="preserve">our recommended </w:t>
      </w:r>
      <w:r>
        <w:t xml:space="preserve">council size). This stage only involves the Commission and the Council and is not put out for general </w:t>
      </w:r>
      <w:r w:rsidR="000A50AF">
        <w:t>consultation</w:t>
      </w:r>
      <w:r>
        <w:t>.</w:t>
      </w:r>
    </w:p>
    <w:p w14:paraId="79453F33" w14:textId="1DAE4775" w:rsidR="00E25553" w:rsidRPr="00E33557" w:rsidRDefault="00E25553" w:rsidP="0056413F">
      <w:pPr>
        <w:rPr>
          <w:b/>
        </w:rPr>
      </w:pPr>
      <w:r w:rsidRPr="00E33557">
        <w:rPr>
          <w:b/>
        </w:rPr>
        <w:t>Cross-party working group</w:t>
      </w:r>
    </w:p>
    <w:p w14:paraId="70966D5A" w14:textId="381E709E" w:rsidR="00E87F7A" w:rsidRPr="001356F1" w:rsidRDefault="00E25553" w:rsidP="005570B5">
      <w:pPr>
        <w:pStyle w:val="bParagraphtext"/>
        <w:rPr>
          <w:rStyle w:val="ListParagraphChar"/>
        </w:rPr>
      </w:pPr>
      <w:r>
        <w:t>A cross</w:t>
      </w:r>
      <w:r w:rsidR="00E33557">
        <w:t xml:space="preserve">-party member working group has been set up in order to make recommendations to the Board. The Working Group has met several times and has come to an agreement on </w:t>
      </w:r>
      <w:r w:rsidR="00D1350D">
        <w:t xml:space="preserve">its </w:t>
      </w:r>
      <w:r w:rsidR="00E33557">
        <w:t>recommend</w:t>
      </w:r>
      <w:r w:rsidR="00D1350D">
        <w:t>ed</w:t>
      </w:r>
      <w:r w:rsidR="00E33557">
        <w:t xml:space="preserve"> council size and the development of the Council’s submission.</w:t>
      </w:r>
    </w:p>
    <w:p w14:paraId="55EE1034" w14:textId="42B87F89" w:rsidR="00E87F7A" w:rsidRPr="001356F1" w:rsidRDefault="00E33557" w:rsidP="005570B5">
      <w:pPr>
        <w:pStyle w:val="bParagraphtext"/>
      </w:pPr>
      <w:r>
        <w:t>The Working Group recommends a council size of 48.</w:t>
      </w:r>
      <w:r w:rsidR="00E87F7A" w:rsidRPr="001356F1">
        <w:t xml:space="preserve"> </w:t>
      </w:r>
      <w:r w:rsidR="00583C42">
        <w:t>It believes that the current council size is adequate to enable members to perform both their duties as members of the council and work within their wards.</w:t>
      </w:r>
    </w:p>
    <w:p w14:paraId="28F07422" w14:textId="7BA4B4B5" w:rsidR="00E87F7A" w:rsidRPr="001356F1" w:rsidRDefault="00E33557" w:rsidP="005570B5">
      <w:pPr>
        <w:pStyle w:val="bParagraphtext"/>
      </w:pPr>
      <w:r>
        <w:t xml:space="preserve">The </w:t>
      </w:r>
      <w:r w:rsidR="00E075BC">
        <w:t>Working Group</w:t>
      </w:r>
      <w:r w:rsidR="00D1350D">
        <w:t>’s</w:t>
      </w:r>
      <w:r w:rsidR="00E075BC">
        <w:t xml:space="preserve"> </w:t>
      </w:r>
      <w:r>
        <w:t>draft submission</w:t>
      </w:r>
      <w:r w:rsidR="00E075BC">
        <w:t xml:space="preserve"> to the Commission is attached</w:t>
      </w:r>
      <w:r>
        <w:t xml:space="preserve"> as Appendix 1</w:t>
      </w:r>
      <w:r w:rsidR="00E87F7A" w:rsidRPr="001356F1">
        <w:t>.</w:t>
      </w:r>
    </w:p>
    <w:p w14:paraId="2BA3FCA4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4D1FF393" w14:textId="77777777" w:rsidR="00E87F7A" w:rsidRPr="001356F1" w:rsidRDefault="00487872" w:rsidP="005570B5">
      <w:pPr>
        <w:pStyle w:val="ListParagraph"/>
      </w:pPr>
      <w:r>
        <w:t>There are no financial implications.</w:t>
      </w:r>
    </w:p>
    <w:p w14:paraId="5DD019A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178A9FA4" w14:textId="77777777" w:rsidR="00B07270" w:rsidRDefault="00487872" w:rsidP="00583C42">
      <w:pPr>
        <w:pStyle w:val="ListParagraph"/>
      </w:pPr>
      <w:r>
        <w:t>There are no legal implications.</w:t>
      </w:r>
    </w:p>
    <w:p w14:paraId="44CD6065" w14:textId="2AF81A3F" w:rsidR="00583C42" w:rsidRDefault="00583C42" w:rsidP="00583C42">
      <w:pPr>
        <w:pStyle w:val="ListParagraph"/>
      </w:pPr>
      <w:r w:rsidRPr="001356F1">
        <w:t>Level of risk</w:t>
      </w:r>
    </w:p>
    <w:p w14:paraId="287DE47D" w14:textId="659CF45F" w:rsidR="002329CF" w:rsidRDefault="00583C42" w:rsidP="00B07270">
      <w:pPr>
        <w:pStyle w:val="ListParagraph"/>
        <w:numPr>
          <w:ilvl w:val="0"/>
          <w:numId w:val="0"/>
        </w:numPr>
        <w:ind w:left="426"/>
      </w:pPr>
      <w:r>
        <w:t xml:space="preserve">A </w:t>
      </w:r>
      <w:r w:rsidRPr="001356F1">
        <w:t>completed Risk Register</w:t>
      </w:r>
      <w:r>
        <w:t xml:space="preserve"> is attached at A</w:t>
      </w:r>
      <w:r w:rsidRPr="001356F1">
        <w:t>ppendix</w:t>
      </w:r>
      <w:r>
        <w:t xml:space="preserve"> 2</w:t>
      </w:r>
      <w:r w:rsidRPr="001356F1">
        <w:t xml:space="preserve">. </w:t>
      </w:r>
    </w:p>
    <w:p w14:paraId="47BC3C18" w14:textId="77777777" w:rsidR="00B07270" w:rsidRPr="001356F1" w:rsidRDefault="00B07270" w:rsidP="00B07270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7E9DA1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B358D8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lastRenderedPageBreak/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0A3E" w14:textId="77777777" w:rsidR="00E87F7A" w:rsidRPr="001356F1" w:rsidRDefault="001B0EDD" w:rsidP="00A46E98">
            <w:r>
              <w:t>Martin John</w:t>
            </w:r>
          </w:p>
        </w:tc>
      </w:tr>
      <w:tr w:rsidR="00DF093E" w:rsidRPr="001356F1" w14:paraId="751FDC0E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5FB8F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486A3A" w14:textId="77777777" w:rsidR="00E87F7A" w:rsidRPr="001356F1" w:rsidRDefault="001B0EDD" w:rsidP="00A46E98">
            <w:r>
              <w:t>Electoral Services Manager</w:t>
            </w:r>
          </w:p>
        </w:tc>
      </w:tr>
      <w:tr w:rsidR="00DF093E" w:rsidRPr="001356F1" w14:paraId="55BA271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49ECA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08127D" w14:textId="77777777" w:rsidR="00E87F7A" w:rsidRPr="001356F1" w:rsidRDefault="001B0EDD" w:rsidP="00A46E98">
            <w:r>
              <w:t>Law and Governance</w:t>
            </w:r>
          </w:p>
        </w:tc>
      </w:tr>
      <w:tr w:rsidR="00DF093E" w:rsidRPr="001356F1" w14:paraId="0746BD2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7B7E57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AAC4A4" w14:textId="77777777" w:rsidR="00E87F7A" w:rsidRPr="001356F1" w:rsidRDefault="00E87F7A" w:rsidP="001B0EDD">
            <w:r w:rsidRPr="001356F1">
              <w:t xml:space="preserve">01865 </w:t>
            </w:r>
            <w:r w:rsidR="001B0EDD">
              <w:t>252518</w:t>
            </w:r>
            <w:r w:rsidRPr="001356F1">
              <w:t xml:space="preserve"> </w:t>
            </w:r>
          </w:p>
        </w:tc>
      </w:tr>
      <w:tr w:rsidR="005570B5" w:rsidRPr="001356F1" w14:paraId="7C26E5B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D2E7B1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F546F" w14:textId="77777777" w:rsidR="00E87F7A" w:rsidRPr="001356F1" w:rsidRDefault="001B0EDD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mjohn@oxford.gov.uk</w:t>
            </w:r>
          </w:p>
        </w:tc>
      </w:tr>
    </w:tbl>
    <w:p w14:paraId="7B476A94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497754CA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D0AC85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01FCA792" w14:textId="77777777" w:rsidR="00CE4C87" w:rsidRDefault="00CE4C87" w:rsidP="0093067A"/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80FC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64B71" w14:textId="77777777" w:rsidR="00183507" w:rsidRDefault="00183507" w:rsidP="004A6D2F">
      <w:r>
        <w:separator/>
      </w:r>
    </w:p>
  </w:endnote>
  <w:endnote w:type="continuationSeparator" w:id="0">
    <w:p w14:paraId="775D3166" w14:textId="77777777" w:rsidR="00183507" w:rsidRDefault="0018350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9D1C" w14:textId="77777777" w:rsidR="00E075BC" w:rsidRDefault="00E075BC" w:rsidP="004A6D2F">
    <w:pPr>
      <w:pStyle w:val="Footer"/>
    </w:pPr>
    <w:r>
      <w:t>Do not use a footer or page numbers.</w:t>
    </w:r>
  </w:p>
  <w:p w14:paraId="49B4295B" w14:textId="77777777" w:rsidR="00E075BC" w:rsidRDefault="00E075BC" w:rsidP="004A6D2F">
    <w:pPr>
      <w:pStyle w:val="Footer"/>
    </w:pPr>
  </w:p>
  <w:p w14:paraId="1FA352B1" w14:textId="77777777" w:rsidR="00E075BC" w:rsidRDefault="00E075BC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D91" w14:textId="77777777" w:rsidR="00E075BC" w:rsidRDefault="00E075BC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8A5E" w14:textId="77777777" w:rsidR="00183507" w:rsidRDefault="00183507" w:rsidP="004A6D2F">
      <w:r>
        <w:separator/>
      </w:r>
    </w:p>
  </w:footnote>
  <w:footnote w:type="continuationSeparator" w:id="0">
    <w:p w14:paraId="50325B7B" w14:textId="77777777" w:rsidR="00183507" w:rsidRDefault="0018350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40A7" w14:textId="77777777" w:rsidR="00E075BC" w:rsidRDefault="00E075BC" w:rsidP="00D5547E">
    <w:pPr>
      <w:pStyle w:val="Header"/>
      <w:jc w:val="right"/>
    </w:pPr>
    <w:r>
      <w:rPr>
        <w:noProof/>
      </w:rPr>
      <w:drawing>
        <wp:inline distT="0" distB="0" distL="0" distR="0" wp14:anchorId="211F0FE3" wp14:editId="3FB12D1D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73891"/>
    <w:multiLevelType w:val="hybridMultilevel"/>
    <w:tmpl w:val="984AC77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2"/>
  </w:num>
  <w:num w:numId="4">
    <w:abstractNumId w:val="18"/>
  </w:num>
  <w:num w:numId="5">
    <w:abstractNumId w:val="28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2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50AF"/>
    <w:rsid w:val="000C089F"/>
    <w:rsid w:val="000C3928"/>
    <w:rsid w:val="000C5E8E"/>
    <w:rsid w:val="000F4751"/>
    <w:rsid w:val="0010524C"/>
    <w:rsid w:val="00111FB1"/>
    <w:rsid w:val="00113418"/>
    <w:rsid w:val="0011454D"/>
    <w:rsid w:val="001356F1"/>
    <w:rsid w:val="00136994"/>
    <w:rsid w:val="0014128E"/>
    <w:rsid w:val="00151888"/>
    <w:rsid w:val="00170A2D"/>
    <w:rsid w:val="001808BC"/>
    <w:rsid w:val="00182B81"/>
    <w:rsid w:val="00183507"/>
    <w:rsid w:val="0018619D"/>
    <w:rsid w:val="001A011E"/>
    <w:rsid w:val="001A066A"/>
    <w:rsid w:val="001A13E6"/>
    <w:rsid w:val="001A5731"/>
    <w:rsid w:val="001B0EDD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51664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25"/>
    <w:rsid w:val="00433B96"/>
    <w:rsid w:val="004440F1"/>
    <w:rsid w:val="004456DD"/>
    <w:rsid w:val="00446CDF"/>
    <w:rsid w:val="004521B7"/>
    <w:rsid w:val="00462AB5"/>
    <w:rsid w:val="00465EAF"/>
    <w:rsid w:val="004738C5"/>
    <w:rsid w:val="004758B2"/>
    <w:rsid w:val="00487872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413F"/>
    <w:rsid w:val="00567E18"/>
    <w:rsid w:val="00575F5F"/>
    <w:rsid w:val="00581805"/>
    <w:rsid w:val="00583C42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73D7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7716D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A2719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348C"/>
    <w:rsid w:val="00A46E98"/>
    <w:rsid w:val="00A6352B"/>
    <w:rsid w:val="00A701B5"/>
    <w:rsid w:val="00A714BB"/>
    <w:rsid w:val="00A84422"/>
    <w:rsid w:val="00A87EC1"/>
    <w:rsid w:val="00A92D8F"/>
    <w:rsid w:val="00AB2988"/>
    <w:rsid w:val="00AB7999"/>
    <w:rsid w:val="00AD3292"/>
    <w:rsid w:val="00AE7AF0"/>
    <w:rsid w:val="00B07270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53EB7"/>
    <w:rsid w:val="00C63C31"/>
    <w:rsid w:val="00C70C27"/>
    <w:rsid w:val="00C757A0"/>
    <w:rsid w:val="00C760DE"/>
    <w:rsid w:val="00C82630"/>
    <w:rsid w:val="00C85B4E"/>
    <w:rsid w:val="00C907F7"/>
    <w:rsid w:val="00CA2103"/>
    <w:rsid w:val="00CB6B99"/>
    <w:rsid w:val="00CB73E6"/>
    <w:rsid w:val="00CE4C87"/>
    <w:rsid w:val="00CE544A"/>
    <w:rsid w:val="00D11E1C"/>
    <w:rsid w:val="00D1350D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075BC"/>
    <w:rsid w:val="00E206D6"/>
    <w:rsid w:val="00E25553"/>
    <w:rsid w:val="00E33557"/>
    <w:rsid w:val="00E3366E"/>
    <w:rsid w:val="00E52086"/>
    <w:rsid w:val="00E53B3F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E38C4"/>
    <w:rsid w:val="00F05ECA"/>
    <w:rsid w:val="00F3566E"/>
    <w:rsid w:val="00F375FB"/>
    <w:rsid w:val="00F41AC1"/>
    <w:rsid w:val="00F41CBE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C3BA4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6C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6A19-D4B9-44B0-A735-719F82A2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(2)</Template>
  <TotalTime>3</TotalTime>
  <Pages>3</Pages>
  <Words>483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</dc:creator>
  <cp:lastModifiedBy>JMitchell</cp:lastModifiedBy>
  <cp:revision>3</cp:revision>
  <cp:lastPrinted>2015-07-03T12:50:00Z</cp:lastPrinted>
  <dcterms:created xsi:type="dcterms:W3CDTF">2017-11-17T10:56:00Z</dcterms:created>
  <dcterms:modified xsi:type="dcterms:W3CDTF">2017-11-17T11:01:00Z</dcterms:modified>
</cp:coreProperties>
</file>